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2" w:type="dxa"/>
        <w:tblLook w:val="04A0" w:firstRow="1" w:lastRow="0" w:firstColumn="1" w:lastColumn="0" w:noHBand="0" w:noVBand="1"/>
      </w:tblPr>
      <w:tblGrid>
        <w:gridCol w:w="820"/>
        <w:gridCol w:w="4169"/>
        <w:gridCol w:w="1231"/>
        <w:gridCol w:w="1242"/>
        <w:gridCol w:w="1340"/>
        <w:gridCol w:w="1340"/>
        <w:gridCol w:w="1209"/>
        <w:gridCol w:w="1061"/>
      </w:tblGrid>
      <w:tr w:rsidR="00606B92" w:rsidRPr="00606B92" w:rsidTr="00D527DF">
        <w:trPr>
          <w:trHeight w:val="315"/>
        </w:trPr>
        <w:tc>
          <w:tcPr>
            <w:tcW w:w="12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Bilješke uz Obrazac PR-RAS,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="000A1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-12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(značajnija odstupanja u odnosu na isto razdoblje prethodne godine):</w:t>
            </w:r>
          </w:p>
        </w:tc>
      </w:tr>
      <w:tr w:rsidR="00606B92" w:rsidRPr="00606B92" w:rsidTr="00D527D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315"/>
        </w:trPr>
        <w:tc>
          <w:tcPr>
            <w:tcW w:w="4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24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06B92" w:rsidRPr="00606B92" w:rsidRDefault="00545CD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eurima</w:t>
            </w:r>
          </w:p>
        </w:tc>
        <w:tc>
          <w:tcPr>
            <w:tcW w:w="49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odstupanja</w:t>
            </w:r>
          </w:p>
        </w:tc>
      </w:tr>
      <w:tr w:rsidR="00606B92" w:rsidRPr="00606B92" w:rsidTr="00D527DF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49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D527D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rashodi poslovanja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na robu i usluge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631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inozemnih vlada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proračunu iz drugih proračuna i izvanproračunskim korisnicima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1F70DC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315.944,23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D122E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Glavni razlog</w:t>
            </w:r>
            <w:r w:rsidR="002B3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ćanja je</w:t>
            </w:r>
            <w:r w:rsidR="000D52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povećanje plaća</w:t>
            </w:r>
            <w:r w:rsidR="001F7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F912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F912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45.423,00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F71287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se odnose na projekte E</w:t>
            </w:r>
            <w:r w:rsidR="00F912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rasmus. U 2023. su bile 4 uplate a u 2024. su bile dvije. To je razlog smanjenja.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3F70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3.720,00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337DD0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</w:t>
            </w:r>
            <w:r w:rsidR="003F70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zlog povećanja je odobreni veći iznos uplate za povećane troškove obrazovanja.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961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961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939,45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3A7E24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Razlog smanjenja su manji prihodi od duplikata svjedodžbi i jedna zaprimljena uplate manje</w:t>
            </w:r>
            <w:r w:rsidR="00E77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za naj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am prostora za dva automata (230,94</w:t>
            </w:r>
            <w:r w:rsidR="00E77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eur).</w:t>
            </w:r>
          </w:p>
        </w:tc>
      </w:tr>
      <w:tr w:rsidR="00606B92" w:rsidRPr="00606B92" w:rsidTr="00D527DF">
        <w:trPr>
          <w:trHeight w:val="10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663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Donacije od pravnih i fizičkih osoba izvan općeg proračuna i povrat donacija po protestiranim jamstvima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0837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3.598,31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C265D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maturalnog plesa</w:t>
            </w:r>
            <w:r w:rsidR="001B6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(8.405,97 eura uplata</w:t>
            </w:r>
            <w:r w:rsidR="000837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 2023. za razliku od 7.980,00 eur u 2024</w:t>
            </w:r>
            <w:r w:rsidR="001B6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.)</w:t>
            </w:r>
            <w:r w:rsidR="00364B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prijevoz učenik</w:t>
            </w:r>
            <w:r w:rsidR="000837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 na str. izlete i sl. (3.060,00 eura u 2023. naspram 3.855,00 eur</w:t>
            </w:r>
            <w:r w:rsidR="00364B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r w:rsidR="000837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2024</w:t>
            </w:r>
            <w:r w:rsidR="00233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.) i Euroscho</w:t>
            </w:r>
            <w:r w:rsidR="00364B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ol </w:t>
            </w:r>
            <w:r w:rsidR="00233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sport </w:t>
            </w:r>
            <w:r w:rsidR="00B46A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</w:t>
            </w:r>
            <w:r w:rsidR="000837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ojekt (5.478,62 eur u 2023. a u 2024. 1.040,00 eur</w:t>
            </w:r>
            <w:r w:rsidR="00233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).</w:t>
            </w:r>
            <w:r w:rsidR="000837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To su glavni razlozi smanjenja.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HZZO-a na temelju ugovornih obveza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7B50D0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259.654,11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5374EA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Uvećanje plaća</w:t>
            </w:r>
            <w:r w:rsidR="002B1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B82A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4.436,04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5F7545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Veći iznos naknada i potpora isplaćenih unutar sustava COP-a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meterijal i energiju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6C42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4.598,58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AD0413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 decentralizirane funkcije odobreno je 2.350,29 eur veći iznos nego za 2023. a zbog rasta cijena veći je iznos i potrošnje za rashode za materijal i energiju.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72D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C7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D078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D078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24.130,13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F26E81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Troškovi r</w:t>
            </w:r>
            <w:r w:rsidR="00B119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ealizacij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</w:t>
            </w:r>
            <w:r w:rsidR="00B119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projekata Erasmus za učenike</w:t>
            </w:r>
            <w:r w:rsidR="00D078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Manje se trošilo nego u 2023. ali su i prihodi skoro duplo manji nego u 2023.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3.186,99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EF70F0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Glavni razlog je Euroschool sport projekt na koji se u 2023. potrošilo 4.741,47 eur a u 2024. nije bilo troškova po tom projektu.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Kamate na primljene kredite i zajmove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2A04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2A0408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DF0D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840.65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DF0D49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Zatezne kamate za sudske presude u 2023. kojih nije bilo u  2024.</w:t>
            </w:r>
          </w:p>
        </w:tc>
      </w:tr>
      <w:tr w:rsidR="00606B92" w:rsidRPr="00606B92" w:rsidTr="00D527DF">
        <w:trPr>
          <w:trHeight w:val="7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363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86E16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rashodi od nefinancijske imovine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materijalne imovine - prirodnih bogastava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033BEC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13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033BEC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za izradu studije za nadogr</w:t>
            </w:r>
            <w:r w:rsidR="004C4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dnju</w:t>
            </w:r>
            <w:r w:rsidR="0013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prostor(ija)a škole. Trošak je nastao u 2023. dok ga u 2024. nije bilo.</w:t>
            </w:r>
          </w:p>
        </w:tc>
      </w:tr>
      <w:tr w:rsidR="00606B92" w:rsidRPr="00606B92" w:rsidTr="00D527DF">
        <w:trPr>
          <w:trHeight w:val="63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13512C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7.933,01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033B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06270B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od Županije koja se odnose na kap</w:t>
            </w:r>
            <w:r w:rsidR="00AE2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italna ulaga</w:t>
            </w:r>
            <w:r w:rsidR="00A8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nja i nabavu opreme u 2024</w:t>
            </w:r>
            <w:r w:rsidR="00D87E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g.</w:t>
            </w:r>
            <w:r w:rsidR="00A84A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(medicinska i laboratorijska oprema).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527DF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DF" w:rsidRPr="00606B92" w:rsidRDefault="00D527DF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424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7DF" w:rsidRPr="00606B92" w:rsidRDefault="00D527DF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7DF" w:rsidRPr="00606B92" w:rsidRDefault="00D527DF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195,14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7DF" w:rsidRPr="00606B92" w:rsidRDefault="00D527DF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7DF" w:rsidRPr="00D527DF" w:rsidRDefault="00D527DF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Iznos je veći zbog sredstava za besplatne udžbenike te malo više doznačenim sredstvima za lektiru i stručnu literaturu.</w:t>
            </w:r>
          </w:p>
          <w:p w:rsidR="00D527DF" w:rsidRPr="00606B92" w:rsidRDefault="00D527DF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D527DF" w:rsidRPr="00606B92" w:rsidRDefault="00D527DF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6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Primici i izdaci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10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815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Primici (povrati) glavnice zajmova danih krditnim i ostalim financijskim institucijama izvan javnog sektora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Primici od povrata depozita i jamčevnih pologa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7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842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103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u javnom sektoru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103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606B92" w:rsidRPr="00606B92" w:rsidTr="00D527D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D527DF">
        <w:trPr>
          <w:trHeight w:val="10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9221-9222 9222-9221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Višak/Manjak prihoda i primitaka - preneseni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  <w:r w:rsidR="006674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 </w:t>
            </w:r>
            <w:r w:rsidR="00FE54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CC1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29.372,09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EF27B3" w:rsidRDefault="00EF27B3" w:rsidP="00EF27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Glavni razlog povećanja viška prihoda </w:t>
            </w:r>
            <w:r w:rsidR="009517FA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u odnosu na prošlu godinu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su neutr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o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šena sredstva za projekt Erasmus </w:t>
            </w:r>
            <w:r w:rsidR="00DE415C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čiji je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 </w:t>
            </w:r>
            <w:r w:rsidR="00B334D9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nastavak </w:t>
            </w:r>
            <w:r w:rsidR="00DE415C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realizacije bio</w:t>
            </w:r>
            <w:r w:rsidR="00B334D9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 xml:space="preserve"> u 2024</w:t>
            </w:r>
            <w:r w:rsidR="00614C8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r-HR"/>
              </w:rPr>
              <w:t>. godini.</w:t>
            </w:r>
          </w:p>
        </w:tc>
      </w:tr>
    </w:tbl>
    <w:p w:rsidR="007B3B40" w:rsidRDefault="007B3B40" w:rsidP="002B5DD1"/>
    <w:p w:rsidR="00606B92" w:rsidRDefault="00606B92" w:rsidP="002B5DD1"/>
    <w:p w:rsidR="00606B92" w:rsidRDefault="00606B92" w:rsidP="002B5DD1"/>
    <w:p w:rsidR="00606B92" w:rsidRDefault="00606B92" w:rsidP="002B5DD1"/>
    <w:p w:rsidR="00606B92" w:rsidRDefault="00606B92" w:rsidP="002B5DD1"/>
    <w:p w:rsidR="00606B92" w:rsidRDefault="00606B92" w:rsidP="002B5DD1"/>
    <w:p w:rsidR="00606B92" w:rsidRDefault="00606B92" w:rsidP="002B5DD1"/>
    <w:p w:rsidR="00606B92" w:rsidRDefault="00606B92" w:rsidP="002B5DD1"/>
    <w:tbl>
      <w:tblPr>
        <w:tblW w:w="16052" w:type="dxa"/>
        <w:tblLook w:val="04A0" w:firstRow="1" w:lastRow="0" w:firstColumn="1" w:lastColumn="0" w:noHBand="0" w:noVBand="1"/>
      </w:tblPr>
      <w:tblGrid>
        <w:gridCol w:w="2155"/>
        <w:gridCol w:w="5857"/>
        <w:gridCol w:w="2031"/>
        <w:gridCol w:w="2052"/>
        <w:gridCol w:w="356"/>
        <w:gridCol w:w="356"/>
        <w:gridCol w:w="356"/>
        <w:gridCol w:w="789"/>
        <w:gridCol w:w="960"/>
        <w:gridCol w:w="1140"/>
      </w:tblGrid>
      <w:tr w:rsidR="00606B92" w:rsidRPr="00606B92" w:rsidTr="00606B92">
        <w:trPr>
          <w:trHeight w:val="315"/>
        </w:trPr>
        <w:tc>
          <w:tcPr>
            <w:tcW w:w="13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Bilješke uz Obrazac BIL,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razdoblje </w:t>
            </w:r>
            <w:r w:rsidR="000A1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-12 </w:t>
            </w: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(značajnija odstupanja u odnosu na isto razdoblje prethodne godine):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8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40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18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odstupanja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857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5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Neproizvedena dugotrajna imovina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92D54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1.325,00</w:t>
            </w:r>
          </w:p>
        </w:tc>
        <w:tc>
          <w:tcPr>
            <w:tcW w:w="18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CE030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Izrada studije za nadogradnju škole</w:t>
            </w:r>
            <w:r w:rsidR="00E701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napravljenoj u 2023. 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koja je u vlasništvu druge škole s kojom dijelimo školski prostor i prostorije</w:t>
            </w:r>
            <w:r w:rsidR="00E701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701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 xml:space="preserve">na kojoj je napravljen otpis </w:t>
            </w:r>
            <w:r w:rsidR="00DB6C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i </w:t>
            </w:r>
            <w:r w:rsidR="00E7016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u 2024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0212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022 i 02922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A84F41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17.703,26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0341CA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341CA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7D33EC" w:rsidP="008C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U 202</w:t>
            </w:r>
            <w:r w:rsidR="00A84F41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="008C567A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  <w:r w:rsidR="00A84F41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godini oprema od Carneta pripisana je u naše vlasništvo.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6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023 i 02923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026 i 02926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Proizvedena kratkotrajna imovina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Depoziti u kreditnim i ostalim financijskim institucijama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Jamčevni polozi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Ostala potraživanja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E18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E18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806,77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405730" w:rsidP="00EE1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Nezatvorena </w:t>
            </w:r>
            <w:r w:rsidR="00585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bol</w:t>
            </w:r>
            <w:r w:rsidR="00717B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</w:t>
            </w:r>
            <w:r w:rsidR="00585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vanja</w:t>
            </w:r>
            <w:r w:rsidR="00081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na teret HZZO-a</w:t>
            </w:r>
            <w:r w:rsidR="00EE18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nezatvoren iznos od</w:t>
            </w:r>
            <w:r w:rsidR="00EE18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842,08 eur 2023. u odnosu na 35,31 eur u 2024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78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Potraživanja za pomoći iz inozemstva  i od subjekata unutar općeg proračuna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103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Potraživanja za prihode od prodaje proizvoda i robe te pruženih usluga i za povrat po protestiranim jamstvima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F97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230,94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5B40A0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0518EC" w:rsidP="000F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Razlog odstupanja je što smo u </w:t>
            </w:r>
            <w:r w:rsidR="00FE31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ovom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izvještajnom razdo</w:t>
            </w:r>
            <w:r w:rsidR="000F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blju imali potraživanja za dva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izlazn</w:t>
            </w:r>
            <w:r w:rsidR="000F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račun</w:t>
            </w:r>
            <w:r w:rsidR="000F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</w:t>
            </w:r>
            <w:r w:rsidR="00FE31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a u prethodnom</w:t>
            </w:r>
            <w:r w:rsidR="000F1B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raz</w:t>
            </w:r>
            <w:r w:rsidR="00FE31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doblju za jedan </w:t>
            </w:r>
            <w:r w:rsidR="00FE31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(najam za dva automata za pića i grickalice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).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129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167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Potraživanja proračunskih korisnika za sredstva uplaćena u nadležni proračun i za prihode od HZZO-a na temelju ugovornih obveza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9273AE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14.439,70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EA4DF8" w:rsidRDefault="00EA4DF8" w:rsidP="005C0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B40A0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>Glavni razl</w:t>
            </w:r>
            <w:r w:rsidR="0067667B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>og povećanja</w:t>
            </w:r>
            <w:r w:rsidRPr="005B40A0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 xml:space="preserve"> su neutrošena sredstva za projekt Erasmus čiji će </w:t>
            </w:r>
            <w:r w:rsidR="005C015F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>nastavak realizacije biti u 2025</w:t>
            </w:r>
            <w:r w:rsidR="0067667B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 xml:space="preserve">. godini. Sljedeći veći razlozi povećanja su učenička sredstva, vlastita </w:t>
            </w:r>
            <w:r w:rsidR="005C015F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 xml:space="preserve">sredstva i sredstva za </w:t>
            </w:r>
            <w:r w:rsidR="0067667B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>Eu</w:t>
            </w:r>
            <w:r w:rsidR="005C015F">
              <w:rPr>
                <w:rFonts w:ascii="Calibri" w:eastAsia="Times New Roman" w:hAnsi="Calibri" w:cs="Calibri"/>
                <w:i/>
                <w:iCs/>
                <w:color w:val="3B3838" w:themeColor="background2" w:themeShade="40"/>
                <w:sz w:val="20"/>
                <w:szCs w:val="20"/>
                <w:lang w:eastAsia="hr-HR"/>
              </w:rPr>
              <w:t>roschool sport projekt.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za rashode poslovanja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F97D0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</w:t>
            </w:r>
            <w:r w:rsidR="00E43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43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767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19.199,59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E43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Uvećanje plaća.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00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za kredite i zajmove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991     996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Izvanbilančni zapisi - aktiva/pasiva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D34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  <w:r w:rsidR="00B64F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  <w:r w:rsidR="004024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49.398,81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D3498A" w:rsidRDefault="00B41EE8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Ukupan iznos od </w:t>
            </w:r>
            <w:r w:rsidR="00F404F6"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49.398,81 eur se odnosi na </w:t>
            </w: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10 laptopa u</w:t>
            </w:r>
            <w:r w:rsidR="00F404F6"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procijenjenom iznosu od 6.103,92 eur</w:t>
            </w: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dobivenih sukladno Ugovoru o nabavi opreme za opremanje dijela nastavnika u školama-1. dio u sklopu faze programa "e-Škole: Cjelovita </w:t>
            </w: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lastRenderedPageBreak/>
              <w:t xml:space="preserve">informatizacija poslovanja škola i nastavnih procesa poslovanja škola i nastavnih procesa u svrhu stvaranja digitalno zrelih škola za 21. stoljeće" Grupa 2 br. 191-100-920/19 od 16.8. 2019. g., 29 laptopa isporučenih 12.1. 2021. g. i procijenjene vrijednosti od </w:t>
            </w:r>
            <w:r w:rsidR="00DF467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17.701,38</w:t>
            </w:r>
            <w:r w:rsidR="00F404F6"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 eur</w:t>
            </w: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. Tih 29 laptopa je dobiveno sukladno Ugovoru o nabavi opreme za školske djelatnike-faza 2 u sklopu II. faze programa "e-Škole: Cjelovita informatizacija procesa poslovanja škola i nastavnih procesa u svrhu stvaranja digitalno zrelih škola za 21 stoljeće" Grupa 2, br. 171-100</w:t>
            </w:r>
            <w:r w:rsidR="00F404F6"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 xml:space="preserve">-920/20 od 8.10. 2020. g. </w:t>
            </w:r>
            <w:r w:rsidR="007375E4" w:rsidRPr="00D3498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Carnet-oprema </w:t>
            </w:r>
            <w:r w:rsidR="007375E4" w:rsidRPr="00D3498A"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dobivena u 2023. g.-projekt E-škole u iznosu od 5.125,93 eur, Carnet oprema u 2023.: "Učenički uređaj i ormarići" u iznosu od 14.697,58 eur</w:t>
            </w:r>
            <w:r w:rsidR="002C0012" w:rsidRPr="00D3498A">
              <w:rPr>
                <w:rFonts w:ascii="Calibri" w:hAnsi="Calibri" w:cs="Calibri"/>
                <w:color w:val="FF0000"/>
                <w:sz w:val="20"/>
                <w:szCs w:val="20"/>
              </w:rPr>
              <w:t>, Carnet oprema u 2023.-pametna ploča dobivena naknadnom preraspodjelom preostale opreme-2.885,00 eur te Carnet oprema-pametna ploča iz prethodnih godina koja nije bila u evidenciji-2.885,00 eura.</w:t>
            </w:r>
            <w:r w:rsidR="00D3042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Odlukom Carneta od 1.1. 2024. o prijenosu imovine sva navedena imovina pripisana je u naše vlasništvo.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5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D3498A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D3498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8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Obvezne Bilješke uz Bilancu: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Popis ugovornih odnosa i sl. koji uz ispunjenje određenih uvjeta, mogu postati obveza ili imovina (dana kreditna pisma, hipoteke i sl.)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16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2. Popis sudskih sporova u tijeku - sadrži sažeti opis prirode spora, procjenu financijskog učinka koji može proisteći iz sudskog spora kao obveza ili </w:t>
            </w: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imovina te procijenjeno vrijeme odljeva ili priljeva sredstava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06B92" w:rsidRPr="00606B92" w:rsidTr="00606B92">
        <w:trPr>
          <w:trHeight w:val="31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06B92" w:rsidRDefault="00606B92" w:rsidP="002B5DD1"/>
    <w:p w:rsidR="00606B92" w:rsidRDefault="00606B92" w:rsidP="002B5DD1">
      <w:r w:rsidRPr="00606B92">
        <w:rPr>
          <w:b/>
        </w:rPr>
        <w:t>Bilješke u</w:t>
      </w:r>
      <w:r w:rsidR="000A1022">
        <w:rPr>
          <w:b/>
        </w:rPr>
        <w:t>z Obrazac P-VRIO, razdoblje 2023</w:t>
      </w:r>
      <w:r w:rsidRPr="00606B92">
        <w:rPr>
          <w:b/>
        </w:rPr>
        <w:t>-12</w:t>
      </w:r>
      <w:r w:rsidRPr="00606B92">
        <w:t xml:space="preserve"> (obrazložiti od koga je imovina primljena/kome je imovina prenesena/izvršen rashod imovine ili sl.):</w:t>
      </w:r>
    </w:p>
    <w:p w:rsidR="00606B92" w:rsidRDefault="00606B92" w:rsidP="002B5DD1"/>
    <w:tbl>
      <w:tblPr>
        <w:tblW w:w="12040" w:type="dxa"/>
        <w:tblLook w:val="04A0" w:firstRow="1" w:lastRow="0" w:firstColumn="1" w:lastColumn="0" w:noHBand="0" w:noVBand="1"/>
      </w:tblPr>
      <w:tblGrid>
        <w:gridCol w:w="820"/>
        <w:gridCol w:w="3140"/>
        <w:gridCol w:w="1353"/>
        <w:gridCol w:w="1367"/>
        <w:gridCol w:w="1027"/>
        <w:gridCol w:w="1026"/>
        <w:gridCol w:w="1026"/>
        <w:gridCol w:w="2281"/>
      </w:tblGrid>
      <w:tr w:rsidR="00606B92" w:rsidRPr="00606B92" w:rsidTr="00606B92">
        <w:trPr>
          <w:trHeight w:val="315"/>
        </w:trPr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53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razlozi povećanja/smanjenja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povećanje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536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1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91511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vrijednosti (revalorizacija) imovine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  <w:r w:rsidR="000432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7,47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04328A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Rashodovanje opreme odnosno svođenje sadašnje vrijednosti na nulu kako bi se oprema mogla isknjižiti.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P016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obujmu nefinancijske imovine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04328A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33.428,50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FC2F14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Odluka o isk</w:t>
            </w:r>
            <w:r w:rsidR="000432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njiženju i prijenosu imovine u naše poslovne knjige odlukom Carneta od 1.1 2024. 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Promjene u obujmu financijske imovine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606B92" w:rsidRDefault="00606B92" w:rsidP="002B5DD1"/>
    <w:p w:rsidR="00606B92" w:rsidRDefault="00606B92" w:rsidP="002B5DD1"/>
    <w:p w:rsidR="00606B92" w:rsidRDefault="00606B92" w:rsidP="00606B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06B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   Bilješke uz Obrazac OBVEZE, </w:t>
      </w:r>
      <w:r w:rsidRPr="00606B9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razdoblje </w:t>
      </w:r>
      <w:r w:rsidR="000A10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2023</w:t>
      </w:r>
      <w:r w:rsidRPr="00606B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-12 </w:t>
      </w:r>
      <w:r w:rsidRPr="00606B92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(obrazložiti značajnije pojedinačne obveze i značajnija odstupanja):</w:t>
      </w:r>
    </w:p>
    <w:p w:rsidR="00606B92" w:rsidRDefault="00606B92" w:rsidP="00606B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820"/>
        <w:gridCol w:w="3140"/>
        <w:gridCol w:w="1780"/>
        <w:gridCol w:w="5360"/>
      </w:tblGrid>
      <w:tr w:rsidR="00606B92" w:rsidRPr="00606B92" w:rsidTr="00606B92">
        <w:trPr>
          <w:trHeight w:val="315"/>
        </w:trPr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iznosi u kunama</w:t>
            </w:r>
          </w:p>
        </w:tc>
        <w:tc>
          <w:tcPr>
            <w:tcW w:w="5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pojašnjenje strukture</w:t>
            </w:r>
          </w:p>
        </w:tc>
      </w:tr>
      <w:tr w:rsidR="00606B92" w:rsidRPr="00606B92" w:rsidTr="00606B92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 obveza u izvještajnom razdoblju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181D8C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1.528.024,25</w:t>
            </w:r>
            <w:r w:rsidR="00606B92"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B73DD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Obveze se sastoje od obveza koje se tiču sustava COP-a,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novčane naknade zbog nezapošljavanje osoba </w:t>
            </w:r>
            <w:r w:rsidR="00181D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 invaliditetom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,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projekata Erasmus i drugih projekata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, obveza za bolovanja, svih računa i predračuna u 202</w:t>
            </w:r>
            <w:r w:rsidR="00181D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4878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. godini kao i službenih putovanja i naknada za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prijevoz.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V003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Povećanje međusobnih obveza subjekata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F96AC4" w:rsidRDefault="00F96AC4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96AC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  <w:r w:rsidR="00606B92" w:rsidRPr="00F96AC4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Podmirene obveze u izvještajnom razdoblju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B92" w:rsidRPr="00606B92" w:rsidRDefault="00512558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1.508.824,6</w:t>
            </w:r>
            <w:r w:rsidR="00B908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880C07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Podmirene su sve obveze osim plaće za 12. mjesec (COP),  računa za režije za 12. mjesec 202</w:t>
            </w:r>
            <w:r w:rsidR="005125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. godine </w:t>
            </w:r>
            <w:r w:rsidR="008557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</w:t>
            </w:r>
            <w:r w:rsidRPr="00880C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bolovanja </w:t>
            </w:r>
            <w:r w:rsidR="008557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 teret HZZO-a.</w:t>
            </w:r>
          </w:p>
        </w:tc>
      </w:tr>
      <w:tr w:rsidR="00606B92" w:rsidRPr="00606B92" w:rsidTr="00606B92">
        <w:trPr>
          <w:trHeight w:val="537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Podmirene međusobne obveze subjekata općeg proračuna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V006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Stanje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F96AC4" w:rsidRDefault="00512558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    111.383,70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F96AC4" w:rsidRDefault="000D0FF7" w:rsidP="00606B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Stanje obveza se odnosi na plaću za 12. mjesec (COP), računa za režije za 12. mjesec 202</w:t>
            </w:r>
            <w:r w:rsidR="005125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4. godine, </w:t>
            </w:r>
            <w:r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bolovanja </w:t>
            </w:r>
            <w:r w:rsidR="00C92916" w:rsidRPr="00F96AC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na teret HZZO-a</w:t>
            </w:r>
            <w:r w:rsidR="005125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5318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(35,31 eur) </w:t>
            </w:r>
            <w:r w:rsidR="005125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 xml:space="preserve">te obveze za povrat u državni proračun za neutrošena </w:t>
            </w:r>
            <w:r w:rsidR="005318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sredstva za besplatne udžbenike (246,68 eur)</w:t>
            </w:r>
            <w:r w:rsidR="00DB2D7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dospjelih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F96AC4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nedospjelih obveza na kraju izvještajnog razdoblja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92" w:rsidRPr="00606B92" w:rsidRDefault="005B13EC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111.383,70</w:t>
            </w:r>
            <w:r w:rsidR="00606B92"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DB2D7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B2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Stanje obveza se odnosi na plaću za 12. mjesec (COP), računa za režije za 12. mjesec 2024. godine, bolovanja na teret HZZO-a (35,31 eur) te obveze za povrat u državni proračun za neutrošena sredstva 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besplatne udžbenike (246,68 eur).</w:t>
            </w:r>
          </w:p>
        </w:tc>
      </w:tr>
      <w:tr w:rsidR="00606B92" w:rsidRPr="00606B92" w:rsidTr="00606B92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B92" w:rsidRPr="00606B92" w:rsidTr="00606B9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B92" w:rsidRPr="00606B92" w:rsidRDefault="00606B92" w:rsidP="00606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06B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606B92" w:rsidRPr="00606B92" w:rsidRDefault="00606B92" w:rsidP="00606B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B34095" w:rsidRDefault="00540B32" w:rsidP="002B5DD1">
      <w:r>
        <w:t xml:space="preserve">               </w:t>
      </w:r>
      <w:r w:rsidR="009A2E72">
        <w:t>KLASA: 400-04/25</w:t>
      </w:r>
      <w:r w:rsidR="001C16C8">
        <w:t>-01/1</w:t>
      </w:r>
    </w:p>
    <w:p w:rsidR="00606B92" w:rsidRDefault="00B34095" w:rsidP="002B5DD1">
      <w:r>
        <w:t xml:space="preserve"> </w:t>
      </w:r>
      <w:r w:rsidR="009A2E72">
        <w:t xml:space="preserve">              URBROJ: 2182-47-25</w:t>
      </w:r>
      <w:r w:rsidR="001C16C8">
        <w:t>-2</w:t>
      </w:r>
      <w:r w:rsidR="00540B32">
        <w:t xml:space="preserve">                                                                                   Ravnateljica:</w:t>
      </w:r>
    </w:p>
    <w:p w:rsidR="00540B32" w:rsidRDefault="00540B32" w:rsidP="002B5DD1">
      <w:r>
        <w:t xml:space="preserve">                                                                                              </w:t>
      </w:r>
      <w:r w:rsidR="00B34095">
        <w:t xml:space="preserve">                             </w:t>
      </w:r>
      <w:r w:rsidR="0082513D">
        <w:t xml:space="preserve"> </w:t>
      </w:r>
      <w:r w:rsidR="00B34095">
        <w:t xml:space="preserve">          </w:t>
      </w:r>
      <w:r>
        <w:t xml:space="preserve"> Aleksandra Acalin</w:t>
      </w:r>
    </w:p>
    <w:p w:rsidR="00540B32" w:rsidRPr="002B5DD1" w:rsidRDefault="00540B32" w:rsidP="002B5DD1">
      <w:bookmarkStart w:id="0" w:name="_GoBack"/>
      <w:bookmarkEnd w:id="0"/>
    </w:p>
    <w:sectPr w:rsidR="00540B32" w:rsidRPr="002B5DD1" w:rsidSect="007B3B40"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F2" w:rsidRDefault="00167FF2" w:rsidP="004647FC">
      <w:pPr>
        <w:spacing w:after="0" w:line="240" w:lineRule="auto"/>
      </w:pPr>
      <w:r>
        <w:separator/>
      </w:r>
    </w:p>
  </w:endnote>
  <w:endnote w:type="continuationSeparator" w:id="0">
    <w:p w:rsidR="00167FF2" w:rsidRDefault="00167FF2" w:rsidP="0046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F2" w:rsidRDefault="00167FF2" w:rsidP="004647FC">
      <w:pPr>
        <w:spacing w:after="0" w:line="240" w:lineRule="auto"/>
      </w:pPr>
      <w:r>
        <w:separator/>
      </w:r>
    </w:p>
  </w:footnote>
  <w:footnote w:type="continuationSeparator" w:id="0">
    <w:p w:rsidR="00167FF2" w:rsidRDefault="00167FF2" w:rsidP="00464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40"/>
    <w:rsid w:val="00027FC1"/>
    <w:rsid w:val="00033BEC"/>
    <w:rsid w:val="000341CA"/>
    <w:rsid w:val="0004328A"/>
    <w:rsid w:val="000518EC"/>
    <w:rsid w:val="0006270B"/>
    <w:rsid w:val="0008112F"/>
    <w:rsid w:val="00083782"/>
    <w:rsid w:val="000A1022"/>
    <w:rsid w:val="000D0FF7"/>
    <w:rsid w:val="000D5288"/>
    <w:rsid w:val="000F1B13"/>
    <w:rsid w:val="0013512C"/>
    <w:rsid w:val="001622DD"/>
    <w:rsid w:val="00167FF2"/>
    <w:rsid w:val="00181D8C"/>
    <w:rsid w:val="001B2F2E"/>
    <w:rsid w:val="001B6206"/>
    <w:rsid w:val="001C16C8"/>
    <w:rsid w:val="001D042B"/>
    <w:rsid w:val="001D05D0"/>
    <w:rsid w:val="001D77DF"/>
    <w:rsid w:val="001F70DC"/>
    <w:rsid w:val="00233EB0"/>
    <w:rsid w:val="00264613"/>
    <w:rsid w:val="00271A83"/>
    <w:rsid w:val="00272D6E"/>
    <w:rsid w:val="00297EF1"/>
    <w:rsid w:val="002A0408"/>
    <w:rsid w:val="002B1CC6"/>
    <w:rsid w:val="002B3717"/>
    <w:rsid w:val="002B3E0F"/>
    <w:rsid w:val="002B5DD1"/>
    <w:rsid w:val="002C0012"/>
    <w:rsid w:val="00337DD0"/>
    <w:rsid w:val="00364B96"/>
    <w:rsid w:val="003948EB"/>
    <w:rsid w:val="003A7E24"/>
    <w:rsid w:val="003C5FD2"/>
    <w:rsid w:val="003F66FC"/>
    <w:rsid w:val="003F70F9"/>
    <w:rsid w:val="004024AD"/>
    <w:rsid w:val="00405730"/>
    <w:rsid w:val="004239A3"/>
    <w:rsid w:val="004647FC"/>
    <w:rsid w:val="004843F6"/>
    <w:rsid w:val="00485A0D"/>
    <w:rsid w:val="004878E6"/>
    <w:rsid w:val="004C4088"/>
    <w:rsid w:val="004D313C"/>
    <w:rsid w:val="00501626"/>
    <w:rsid w:val="00512558"/>
    <w:rsid w:val="00531863"/>
    <w:rsid w:val="005374EA"/>
    <w:rsid w:val="00540B32"/>
    <w:rsid w:val="00544B0D"/>
    <w:rsid w:val="00545CD2"/>
    <w:rsid w:val="005859DA"/>
    <w:rsid w:val="005B13EC"/>
    <w:rsid w:val="005B40A0"/>
    <w:rsid w:val="005C015F"/>
    <w:rsid w:val="005F7545"/>
    <w:rsid w:val="00606B92"/>
    <w:rsid w:val="00614C81"/>
    <w:rsid w:val="00667403"/>
    <w:rsid w:val="0067667B"/>
    <w:rsid w:val="00686E16"/>
    <w:rsid w:val="00692D54"/>
    <w:rsid w:val="00697EF7"/>
    <w:rsid w:val="006B73DD"/>
    <w:rsid w:val="006C42BE"/>
    <w:rsid w:val="006C4573"/>
    <w:rsid w:val="006C7796"/>
    <w:rsid w:val="006D122E"/>
    <w:rsid w:val="00717B3B"/>
    <w:rsid w:val="00736236"/>
    <w:rsid w:val="007375E4"/>
    <w:rsid w:val="00743664"/>
    <w:rsid w:val="00764B1D"/>
    <w:rsid w:val="007B3B40"/>
    <w:rsid w:val="007B4B6B"/>
    <w:rsid w:val="007B50D0"/>
    <w:rsid w:val="007D192C"/>
    <w:rsid w:val="007D33EC"/>
    <w:rsid w:val="007E5225"/>
    <w:rsid w:val="0082513D"/>
    <w:rsid w:val="008363C5"/>
    <w:rsid w:val="008557ED"/>
    <w:rsid w:val="00880C07"/>
    <w:rsid w:val="008A55F1"/>
    <w:rsid w:val="008C567A"/>
    <w:rsid w:val="008F431C"/>
    <w:rsid w:val="0090481C"/>
    <w:rsid w:val="0090781D"/>
    <w:rsid w:val="009273AE"/>
    <w:rsid w:val="009517FA"/>
    <w:rsid w:val="009612D8"/>
    <w:rsid w:val="009A2E72"/>
    <w:rsid w:val="009D69E3"/>
    <w:rsid w:val="009F6E59"/>
    <w:rsid w:val="00A17D46"/>
    <w:rsid w:val="00A532EC"/>
    <w:rsid w:val="00A72D1C"/>
    <w:rsid w:val="00A84A0D"/>
    <w:rsid w:val="00A84F41"/>
    <w:rsid w:val="00A85B97"/>
    <w:rsid w:val="00AB29A9"/>
    <w:rsid w:val="00AD0413"/>
    <w:rsid w:val="00AE2829"/>
    <w:rsid w:val="00B119C7"/>
    <w:rsid w:val="00B155AF"/>
    <w:rsid w:val="00B20CB8"/>
    <w:rsid w:val="00B334D9"/>
    <w:rsid w:val="00B34095"/>
    <w:rsid w:val="00B41EE8"/>
    <w:rsid w:val="00B46A68"/>
    <w:rsid w:val="00B52283"/>
    <w:rsid w:val="00B64FB5"/>
    <w:rsid w:val="00B82AC8"/>
    <w:rsid w:val="00B905BB"/>
    <w:rsid w:val="00B908E0"/>
    <w:rsid w:val="00C11F4E"/>
    <w:rsid w:val="00C265D2"/>
    <w:rsid w:val="00C412B0"/>
    <w:rsid w:val="00C87604"/>
    <w:rsid w:val="00C912CA"/>
    <w:rsid w:val="00C92916"/>
    <w:rsid w:val="00CC1CCF"/>
    <w:rsid w:val="00CC49E9"/>
    <w:rsid w:val="00CE0302"/>
    <w:rsid w:val="00D07819"/>
    <w:rsid w:val="00D3042E"/>
    <w:rsid w:val="00D3498A"/>
    <w:rsid w:val="00D43970"/>
    <w:rsid w:val="00D527DF"/>
    <w:rsid w:val="00D723E5"/>
    <w:rsid w:val="00D87EEC"/>
    <w:rsid w:val="00DB2D72"/>
    <w:rsid w:val="00DB6CC4"/>
    <w:rsid w:val="00DC7EEC"/>
    <w:rsid w:val="00DE415C"/>
    <w:rsid w:val="00DF0D49"/>
    <w:rsid w:val="00DF467C"/>
    <w:rsid w:val="00E153E5"/>
    <w:rsid w:val="00E162F5"/>
    <w:rsid w:val="00E43BF1"/>
    <w:rsid w:val="00E51CD5"/>
    <w:rsid w:val="00E63B7D"/>
    <w:rsid w:val="00E7016E"/>
    <w:rsid w:val="00E767C7"/>
    <w:rsid w:val="00E77D7F"/>
    <w:rsid w:val="00E94028"/>
    <w:rsid w:val="00EA4997"/>
    <w:rsid w:val="00EA4DF8"/>
    <w:rsid w:val="00EE1851"/>
    <w:rsid w:val="00EF27B3"/>
    <w:rsid w:val="00EF70F0"/>
    <w:rsid w:val="00F26E81"/>
    <w:rsid w:val="00F404F6"/>
    <w:rsid w:val="00F41A28"/>
    <w:rsid w:val="00F71287"/>
    <w:rsid w:val="00F912A7"/>
    <w:rsid w:val="00F93941"/>
    <w:rsid w:val="00F96AC4"/>
    <w:rsid w:val="00F97D02"/>
    <w:rsid w:val="00FA2A05"/>
    <w:rsid w:val="00FB0B23"/>
    <w:rsid w:val="00FC2F14"/>
    <w:rsid w:val="00FC43BA"/>
    <w:rsid w:val="00FE3139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FDC9"/>
  <w15:chartTrackingRefBased/>
  <w15:docId w15:val="{A0C0B719-8072-425C-9564-38F3D1EA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7FC"/>
  </w:style>
  <w:style w:type="paragraph" w:styleId="Podnoje">
    <w:name w:val="footer"/>
    <w:basedOn w:val="Normal"/>
    <w:link w:val="PodnojeChar"/>
    <w:uiPriority w:val="99"/>
    <w:unhideWhenUsed/>
    <w:rsid w:val="0046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7FC"/>
  </w:style>
  <w:style w:type="paragraph" w:styleId="Tekstbalonia">
    <w:name w:val="Balloon Text"/>
    <w:basedOn w:val="Normal"/>
    <w:link w:val="TekstbaloniaChar"/>
    <w:uiPriority w:val="99"/>
    <w:semiHidden/>
    <w:unhideWhenUsed/>
    <w:rsid w:val="0082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1706</Words>
  <Characters>9728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Mestrovic</dc:creator>
  <cp:keywords/>
  <dc:description/>
  <cp:lastModifiedBy>Martina</cp:lastModifiedBy>
  <cp:revision>445</cp:revision>
  <cp:lastPrinted>2023-01-27T09:12:00Z</cp:lastPrinted>
  <dcterms:created xsi:type="dcterms:W3CDTF">2023-01-26T10:22:00Z</dcterms:created>
  <dcterms:modified xsi:type="dcterms:W3CDTF">2025-01-24T11:17:00Z</dcterms:modified>
</cp:coreProperties>
</file>